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6D2EE" w14:textId="5B7501BD" w:rsidR="001F4D61" w:rsidRPr="00E67F67" w:rsidRDefault="00976924" w:rsidP="005A5922">
      <w:pPr>
        <w:pStyle w:val="Titreconsultation"/>
        <w:tabs>
          <w:tab w:val="clear" w:pos="9070"/>
          <w:tab w:val="right" w:pos="9639"/>
        </w:tabs>
        <w:rPr>
          <w:sz w:val="22"/>
        </w:rPr>
      </w:pPr>
      <w:r>
        <w:rPr>
          <w:sz w:val="48"/>
        </w:rPr>
        <w:t>Cadre de r</w:t>
      </w:r>
      <w:r w:rsidR="0099365B">
        <w:rPr>
          <w:sz w:val="48"/>
        </w:rPr>
        <w:t>É</w:t>
      </w:r>
      <w:r w:rsidR="004C797C">
        <w:rPr>
          <w:sz w:val="48"/>
        </w:rPr>
        <w:t>PONSE</w:t>
      </w:r>
      <w:r w:rsidR="005A5922">
        <w:rPr>
          <w:sz w:val="48"/>
        </w:rPr>
        <w:br/>
      </w:r>
      <w:r w:rsidR="00C948AD">
        <w:rPr>
          <w:caps w:val="0"/>
          <w:sz w:val="32"/>
          <w:szCs w:val="24"/>
        </w:rPr>
        <w:br/>
      </w:r>
      <w:r w:rsidR="00C948AD">
        <w:rPr>
          <w:caps w:val="0"/>
          <w:sz w:val="32"/>
          <w:szCs w:val="24"/>
        </w:rPr>
        <w:br/>
      </w:r>
      <w:r w:rsidR="00A23366" w:rsidRPr="00A23366">
        <w:rPr>
          <w:caps w:val="0"/>
          <w:sz w:val="32"/>
          <w:szCs w:val="24"/>
        </w:rPr>
        <w:t>Conception graphique, maquettage et mise en page du rapport annuel et de supports de communication</w:t>
      </w:r>
      <w:r w:rsidR="00D0653F" w:rsidRPr="00A23366">
        <w:rPr>
          <w:sz w:val="20"/>
          <w:szCs w:val="20"/>
        </w:rPr>
        <w:br/>
      </w:r>
      <w:r w:rsidR="003E05CB">
        <w:rPr>
          <w:sz w:val="20"/>
          <w:szCs w:val="20"/>
        </w:rPr>
        <w:br/>
      </w:r>
      <w:r w:rsidR="005A5922">
        <w:rPr>
          <w:sz w:val="20"/>
          <w:szCs w:val="20"/>
        </w:rPr>
        <w:br/>
      </w:r>
      <w:r w:rsidR="005A5922">
        <w:rPr>
          <w:sz w:val="20"/>
          <w:szCs w:val="20"/>
        </w:rPr>
        <w:br/>
      </w:r>
      <w:r w:rsidR="005A5922">
        <w:rPr>
          <w:sz w:val="20"/>
          <w:szCs w:val="20"/>
        </w:rPr>
        <w:br/>
      </w:r>
      <w:r w:rsidR="00D0653F" w:rsidRPr="005A5922">
        <w:rPr>
          <w:b w:val="0"/>
          <w:sz w:val="20"/>
          <w:szCs w:val="20"/>
        </w:rPr>
        <w:t xml:space="preserve">N/Ref. : </w:t>
      </w:r>
      <w:r w:rsidR="00A23366" w:rsidRPr="00AE6EC2">
        <w:rPr>
          <w:b w:val="0"/>
          <w:sz w:val="24"/>
        </w:rPr>
        <w:t>AO_CONCEPTION_SUPPORT_COM_062025</w:t>
      </w:r>
      <w:r w:rsidR="00DF596E" w:rsidRPr="005A5922">
        <w:rPr>
          <w:b w:val="0"/>
          <w:sz w:val="20"/>
          <w:szCs w:val="20"/>
        </w:rPr>
        <w:br/>
      </w:r>
      <w:r w:rsidR="00DF596E" w:rsidRPr="005A5922">
        <w:rPr>
          <w:b w:val="0"/>
          <w:sz w:val="20"/>
          <w:szCs w:val="20"/>
        </w:rPr>
        <w:br/>
      </w:r>
      <w:r w:rsidR="00B94BC2" w:rsidRPr="00B94BC2">
        <w:rPr>
          <w:b w:val="0"/>
          <w:caps w:val="0"/>
          <w:color w:val="auto"/>
          <w:sz w:val="16"/>
          <w:szCs w:val="20"/>
        </w:rPr>
        <w:t>Accord-cadre passé selon la procédure d’appel d’offres ouvert suivant les articles L.2124-1 et R.2124-2 1, L.2125-1 1, R.2162-2 à R.2162-6 et R.2162-13 à R.2162-14 du Code de la commande publique.</w:t>
      </w:r>
      <w:r w:rsidR="00B94BC2">
        <w:rPr>
          <w:b w:val="0"/>
          <w:caps w:val="0"/>
          <w:color w:val="auto"/>
          <w:sz w:val="16"/>
          <w:szCs w:val="20"/>
        </w:rPr>
        <w:br/>
      </w:r>
      <w:r w:rsidR="003E05CB">
        <w:rPr>
          <w:bCs/>
          <w:sz w:val="20"/>
          <w:szCs w:val="20"/>
        </w:rPr>
        <w:br/>
      </w:r>
      <w:r w:rsidR="00D0653F" w:rsidRPr="005A5922">
        <w:rPr>
          <w:bCs/>
          <w:sz w:val="20"/>
          <w:szCs w:val="20"/>
        </w:rPr>
        <w:br/>
      </w:r>
      <w:r w:rsidR="00E67F67" w:rsidRPr="00911277">
        <w:rPr>
          <w:rFonts w:ascii="Now Alt Light" w:hAnsi="Now Alt Light"/>
          <w:b w:val="0"/>
          <w:caps w:val="0"/>
          <w:color w:val="C00000"/>
          <w:sz w:val="32"/>
        </w:rPr>
        <w:t>Date limite de remise des candidatures et des offres :</w:t>
      </w:r>
      <w:r w:rsidR="00E67F67" w:rsidRPr="00911277">
        <w:rPr>
          <w:rFonts w:ascii="Now Alt Light" w:hAnsi="Now Alt Light"/>
          <w:b w:val="0"/>
          <w:caps w:val="0"/>
          <w:color w:val="C00000"/>
          <w:sz w:val="32"/>
        </w:rPr>
        <w:br/>
      </w:r>
      <w:r w:rsidR="003E05CB">
        <w:rPr>
          <w:rFonts w:ascii="Now Alt Light" w:hAnsi="Now Alt Light"/>
          <w:caps w:val="0"/>
          <w:color w:val="C00000"/>
          <w:sz w:val="32"/>
        </w:rPr>
        <w:t>31</w:t>
      </w:r>
      <w:r w:rsidR="00E67F67" w:rsidRPr="00911277">
        <w:rPr>
          <w:rFonts w:ascii="Now Alt Light" w:hAnsi="Now Alt Light"/>
          <w:caps w:val="0"/>
          <w:color w:val="C00000"/>
          <w:sz w:val="32"/>
        </w:rPr>
        <w:t xml:space="preserve"> </w:t>
      </w:r>
      <w:r w:rsidR="003E05CB">
        <w:rPr>
          <w:rFonts w:ascii="Now Alt Light" w:hAnsi="Now Alt Light"/>
          <w:caps w:val="0"/>
          <w:color w:val="C00000"/>
          <w:sz w:val="32"/>
        </w:rPr>
        <w:t>juillet</w:t>
      </w:r>
      <w:r w:rsidR="00E67F67" w:rsidRPr="00911277">
        <w:rPr>
          <w:rFonts w:ascii="Now Alt Light" w:hAnsi="Now Alt Light"/>
          <w:caps w:val="0"/>
          <w:color w:val="C00000"/>
          <w:sz w:val="32"/>
        </w:rPr>
        <w:t xml:space="preserve"> 2024 </w:t>
      </w:r>
      <w:r w:rsidR="003E05CB">
        <w:rPr>
          <w:rFonts w:ascii="Now Alt Light" w:hAnsi="Now Alt Light"/>
          <w:caps w:val="0"/>
          <w:color w:val="C00000"/>
          <w:sz w:val="32"/>
        </w:rPr>
        <w:t>à</w:t>
      </w:r>
      <w:r w:rsidR="00E67F67" w:rsidRPr="00911277">
        <w:rPr>
          <w:rFonts w:ascii="Now Alt Light" w:hAnsi="Now Alt Light"/>
          <w:caps w:val="0"/>
          <w:color w:val="C00000"/>
          <w:sz w:val="32"/>
        </w:rPr>
        <w:t xml:space="preserve"> </w:t>
      </w:r>
      <w:r w:rsidR="003E05CB">
        <w:rPr>
          <w:rFonts w:ascii="Now Alt Light" w:hAnsi="Now Alt Light"/>
          <w:caps w:val="0"/>
          <w:color w:val="C00000"/>
          <w:sz w:val="32"/>
        </w:rPr>
        <w:t>14</w:t>
      </w:r>
      <w:r w:rsidR="00E67F67" w:rsidRPr="00911277">
        <w:rPr>
          <w:rFonts w:ascii="Now Alt Light" w:hAnsi="Now Alt Light"/>
          <w:caps w:val="0"/>
          <w:color w:val="C00000"/>
          <w:sz w:val="32"/>
        </w:rPr>
        <w:t>h00</w:t>
      </w:r>
      <w:r w:rsidR="00E67F67" w:rsidRPr="00911277">
        <w:rPr>
          <w:b w:val="0"/>
          <w:bCs/>
        </w:rPr>
        <w:br/>
      </w:r>
      <w:r w:rsidR="00E67F67">
        <w:rPr>
          <w:sz w:val="22"/>
        </w:rPr>
        <w:br/>
      </w:r>
      <w:r w:rsidR="00B94BC2">
        <w:rPr>
          <w:sz w:val="22"/>
        </w:rPr>
        <w:br/>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669782D1" w14:textId="4020E113" w:rsidR="001F4D61" w:rsidRPr="00E67F67" w:rsidRDefault="001F4D61" w:rsidP="00E67F67">
      <w:pPr>
        <w:spacing w:before="0"/>
        <w:jc w:val="left"/>
        <w:rPr>
          <w:rFonts w:ascii="Now Alt Light" w:hAnsi="Now Alt Light"/>
          <w:sz w:val="20"/>
          <w:szCs w:val="24"/>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 xml:space="preserve">14 rue </w:t>
      </w:r>
      <w:proofErr w:type="spellStart"/>
      <w:r w:rsidRPr="00324CD6">
        <w:rPr>
          <w:rFonts w:ascii="Now Alt Light" w:hAnsi="Now Alt Light"/>
          <w:snapToGrid w:val="0"/>
          <w:sz w:val="18"/>
        </w:rPr>
        <w:t>Gerty</w:t>
      </w:r>
      <w:proofErr w:type="spellEnd"/>
      <w:r w:rsidRPr="00324CD6">
        <w:rPr>
          <w:rFonts w:ascii="Now Alt Light" w:hAnsi="Now Alt Light"/>
          <w:snapToGrid w:val="0"/>
          <w:sz w:val="18"/>
        </w:rPr>
        <w:t xml:space="preserve">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Pr="00324CD6">
          <w:rPr>
            <w:rStyle w:val="Lienhypertexte"/>
            <w:rFonts w:ascii="Now Alt Light" w:hAnsi="Now Alt Light"/>
            <w:sz w:val="18"/>
          </w:rPr>
          <w:t>http://www.arcep.fr</w:t>
        </w:r>
      </w:hyperlink>
    </w:p>
    <w:p w14:paraId="5AD9929D" w14:textId="66E6E15F" w:rsidR="001F4D61" w:rsidRDefault="004C797C" w:rsidP="0063787F">
      <w:pPr>
        <w:rPr>
          <w:szCs w:val="22"/>
        </w:rPr>
      </w:pPr>
      <w:r>
        <w:rPr>
          <w:szCs w:val="22"/>
        </w:rPr>
        <w:lastRenderedPageBreak/>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w:t>
      </w:r>
    </w:p>
    <w:p w14:paraId="1A7FB9C0" w14:textId="67DA8A31"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proofErr w:type="spellStart"/>
      <w:r w:rsidR="0099365B">
        <w:rPr>
          <w:szCs w:val="22"/>
        </w:rPr>
        <w:t>nécéssaire</w:t>
      </w:r>
      <w:proofErr w:type="spellEnd"/>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462FA406" w14:textId="11BDFD63" w:rsidR="00274FCB" w:rsidRPr="00576F19" w:rsidRDefault="00576F19" w:rsidP="0063787F">
      <w:pPr>
        <w:rPr>
          <w:b/>
          <w:szCs w:val="22"/>
        </w:rPr>
      </w:pPr>
      <w:r w:rsidRPr="00576F19">
        <w:rPr>
          <w:b/>
          <w:szCs w:val="22"/>
        </w:rPr>
        <w:t>La remise du présent cadre de réponse n’exonère pas le candidat de la remise de son mémoire technique.</w:t>
      </w:r>
    </w:p>
    <w:p w14:paraId="05886E97" w14:textId="76C2A923"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proofErr w:type="spellStart"/>
      <w:r w:rsidR="00274FCB">
        <w:rPr>
          <w:szCs w:val="22"/>
        </w:rPr>
        <w:t>nécéssaire</w:t>
      </w:r>
      <w:r w:rsidR="00B767C5">
        <w:rPr>
          <w:szCs w:val="22"/>
        </w:rPr>
        <w:t>s</w:t>
      </w:r>
      <w:proofErr w:type="spellEnd"/>
      <w:r w:rsidR="00274FCB">
        <w:rPr>
          <w:szCs w:val="22"/>
        </w:rPr>
        <w:t xml:space="preserve"> à l’appréciation de son offre</w:t>
      </w:r>
      <w:r>
        <w:rPr>
          <w:szCs w:val="22"/>
        </w:rPr>
        <w:t>.</w:t>
      </w:r>
    </w:p>
    <w:p w14:paraId="4BA42CFB" w14:textId="58D44ACD" w:rsidR="00B03433" w:rsidRPr="00B767C5" w:rsidRDefault="00B03433" w:rsidP="0063787F">
      <w:pPr>
        <w:pStyle w:val="Titre1"/>
        <w:numPr>
          <w:ilvl w:val="0"/>
          <w:numId w:val="0"/>
        </w:numPr>
        <w:ind w:left="432" w:hanging="432"/>
        <w:jc w:val="both"/>
      </w:pPr>
      <w:r w:rsidRPr="00B767C5">
        <w:t>Critère n°1 :</w:t>
      </w:r>
      <w:r w:rsidR="005D3EE7">
        <w:t xml:space="preserve"> </w:t>
      </w:r>
      <w:r w:rsidR="00A23366">
        <w:t>Valeur technique</w:t>
      </w:r>
      <w:r w:rsidR="005D3EE7">
        <w:t xml:space="preserve"> </w:t>
      </w:r>
      <w:r w:rsidR="00B767C5">
        <w:t xml:space="preserve">– </w:t>
      </w:r>
      <w:r w:rsidR="00A23366">
        <w:t>40</w:t>
      </w:r>
      <w:r w:rsidR="00B767C5">
        <w:t xml:space="preserve"> </w:t>
      </w:r>
      <w:r w:rsidRPr="00B767C5">
        <w:t>points</w:t>
      </w:r>
    </w:p>
    <w:p w14:paraId="5B78FFBA" w14:textId="67DA9D85" w:rsidR="00274FCB" w:rsidRDefault="00B03433" w:rsidP="0063787F">
      <w:pPr>
        <w:rPr>
          <w:szCs w:val="22"/>
        </w:rPr>
      </w:pPr>
      <w:r w:rsidRPr="004B62E8">
        <w:rPr>
          <w:i/>
          <w:sz w:val="20"/>
          <w:szCs w:val="22"/>
        </w:rPr>
        <w:t>Ce critère est analysé sur la base de l’évaluation des sous-critères suivants</w:t>
      </w:r>
      <w:r>
        <w:rPr>
          <w:i/>
          <w:sz w:val="20"/>
          <w:szCs w:val="22"/>
        </w:rPr>
        <w:t>, pondérés comme suit</w:t>
      </w:r>
      <w:r w:rsidRPr="004B62E8">
        <w:rPr>
          <w:i/>
          <w:sz w:val="20"/>
          <w:szCs w:val="22"/>
        </w:rPr>
        <w:t> :</w:t>
      </w:r>
    </w:p>
    <w:p w14:paraId="58B2DF05" w14:textId="5DAF072D" w:rsidR="00274FCB" w:rsidRPr="0063787F" w:rsidRDefault="00274FCB" w:rsidP="0063787F">
      <w:pPr>
        <w:pStyle w:val="Titre2"/>
        <w:numPr>
          <w:ilvl w:val="0"/>
          <w:numId w:val="0"/>
        </w:numPr>
        <w:ind w:left="576" w:hanging="576"/>
        <w:jc w:val="both"/>
        <w:rPr>
          <w:sz w:val="24"/>
        </w:rPr>
      </w:pPr>
      <w:r w:rsidRPr="0063787F">
        <w:rPr>
          <w:sz w:val="24"/>
        </w:rPr>
        <w:t xml:space="preserve">Sous-critère 1 : </w:t>
      </w:r>
      <w:r w:rsidR="00A23366">
        <w:rPr>
          <w:sz w:val="24"/>
        </w:rPr>
        <w:t>Compréhension générale du besoin</w:t>
      </w:r>
      <w:r w:rsidRPr="0063787F">
        <w:rPr>
          <w:sz w:val="24"/>
        </w:rPr>
        <w:t xml:space="preserve"> </w:t>
      </w:r>
      <w:r w:rsidR="0063787F">
        <w:rPr>
          <w:sz w:val="24"/>
        </w:rPr>
        <w:t xml:space="preserve">– </w:t>
      </w:r>
      <w:r w:rsidR="00A23366">
        <w:rPr>
          <w:sz w:val="24"/>
        </w:rPr>
        <w:t>5</w:t>
      </w:r>
      <w:r w:rsidR="0063787F">
        <w:rPr>
          <w:sz w:val="24"/>
        </w:rPr>
        <w:t xml:space="preserve"> points</w:t>
      </w:r>
    </w:p>
    <w:p w14:paraId="3F5F7E84" w14:textId="77777777" w:rsidR="00A23366" w:rsidRPr="00A23366" w:rsidRDefault="00A23366" w:rsidP="0063787F">
      <w:pPr>
        <w:rPr>
          <w:i/>
          <w:sz w:val="20"/>
          <w:szCs w:val="22"/>
        </w:rPr>
      </w:pPr>
      <w:r w:rsidRPr="00A23366">
        <w:rPr>
          <w:i/>
          <w:sz w:val="20"/>
          <w:szCs w:val="22"/>
        </w:rPr>
        <w:t>La compréhension générale du besoin sera analysée au regard des détails apportés dans le mémoire technique du candidat relatifs aux attentes générales de l’Autorité concernant les prestations faisant l’objet du présent marché.</w:t>
      </w:r>
    </w:p>
    <w:p w14:paraId="200EC307" w14:textId="4260D453" w:rsidR="00A23366" w:rsidRDefault="0063787F" w:rsidP="0063787F">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2B2930" w14:textId="41E01474" w:rsidR="00A23366" w:rsidRDefault="00A23366" w:rsidP="00A23366">
      <w:pPr>
        <w:pStyle w:val="Titre2"/>
        <w:numPr>
          <w:ilvl w:val="0"/>
          <w:numId w:val="0"/>
        </w:numPr>
        <w:rPr>
          <w:sz w:val="24"/>
          <w:szCs w:val="22"/>
        </w:rPr>
      </w:pPr>
      <w:r w:rsidRPr="00A23366">
        <w:rPr>
          <w:sz w:val="24"/>
        </w:rPr>
        <w:t xml:space="preserve">Sous-critère 2 : </w:t>
      </w:r>
      <w:r w:rsidRPr="00A23366">
        <w:rPr>
          <w:sz w:val="24"/>
          <w:szCs w:val="22"/>
        </w:rPr>
        <w:t>Qualité de la méthodologie pour assurer la qualité des livrables</w:t>
      </w:r>
      <w:r>
        <w:rPr>
          <w:sz w:val="24"/>
          <w:szCs w:val="22"/>
        </w:rPr>
        <w:t xml:space="preserve"> – 20 points</w:t>
      </w:r>
    </w:p>
    <w:p w14:paraId="1E0264C2" w14:textId="77777777" w:rsidR="00A23366" w:rsidRPr="00A23366" w:rsidRDefault="00A23366" w:rsidP="00A23366">
      <w:pPr>
        <w:rPr>
          <w:i/>
          <w:sz w:val="20"/>
          <w:szCs w:val="22"/>
        </w:rPr>
      </w:pPr>
      <w:r w:rsidRPr="00A23366">
        <w:rPr>
          <w:i/>
          <w:sz w:val="20"/>
          <w:szCs w:val="22"/>
        </w:rPr>
        <w:t>Ce sous-critère est analysé :</w:t>
      </w:r>
    </w:p>
    <w:p w14:paraId="5CE021AB" w14:textId="77777777" w:rsidR="00A23366" w:rsidRPr="00A23366" w:rsidRDefault="00A23366" w:rsidP="00A23366">
      <w:pPr>
        <w:rPr>
          <w:i/>
          <w:sz w:val="20"/>
          <w:szCs w:val="22"/>
        </w:rPr>
      </w:pPr>
      <w:r w:rsidRPr="00A23366">
        <w:rPr>
          <w:i/>
          <w:sz w:val="20"/>
          <w:szCs w:val="22"/>
        </w:rPr>
        <w:t xml:space="preserve">D’une part, au regard des méthodes de travail présentées par le candidat pour l’organisation et la réalisation de l’ensemble des prestations faisant l’objet du marché (processus créatif, </w:t>
      </w:r>
      <w:proofErr w:type="spellStart"/>
      <w:r w:rsidRPr="00A23366">
        <w:rPr>
          <w:i/>
          <w:sz w:val="20"/>
          <w:szCs w:val="22"/>
        </w:rPr>
        <w:t>interractions</w:t>
      </w:r>
      <w:proofErr w:type="spellEnd"/>
      <w:r w:rsidRPr="00A23366">
        <w:rPr>
          <w:i/>
          <w:sz w:val="20"/>
          <w:szCs w:val="22"/>
        </w:rPr>
        <w:t xml:space="preserve"> prévues avec l’Arcep, description du processus de maquettage, description de la mise en forme des graphiques, description du processus de recherche iconographique, description des prestations de secrétariat de rédaction, description du contrôle qualité lors des itérations notamment concernant les données des graphiques, ainsi que tout autre élément que le candidat souhaiterait porter à la connaissance de l’Autorité) ;</w:t>
      </w:r>
    </w:p>
    <w:p w14:paraId="4C7D7544" w14:textId="43E920FC" w:rsidR="00A23366" w:rsidRDefault="00A23366" w:rsidP="00A23366">
      <w:pPr>
        <w:rPr>
          <w:i/>
          <w:sz w:val="20"/>
          <w:szCs w:val="22"/>
        </w:rPr>
      </w:pPr>
      <w:r w:rsidRPr="00A23366">
        <w:rPr>
          <w:i/>
          <w:sz w:val="20"/>
          <w:szCs w:val="22"/>
        </w:rPr>
        <w:lastRenderedPageBreak/>
        <w:t>Et, d’autre part, sur les modalités mises en œuvre pour l’exécution et la coordination des prestations relatives au rapport annuel, en particulier sur la gestion du maquettage de plusieurs tomes en parallèle.</w:t>
      </w:r>
    </w:p>
    <w:p w14:paraId="61A32D80" w14:textId="17BE53B0" w:rsidR="00A23366" w:rsidRPr="00C948AD" w:rsidRDefault="00A23366" w:rsidP="00A23366">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B95B8C" w14:textId="3924476E" w:rsidR="00A23366" w:rsidRDefault="00A23366" w:rsidP="00A23366">
      <w:pPr>
        <w:pStyle w:val="Titre2"/>
        <w:numPr>
          <w:ilvl w:val="0"/>
          <w:numId w:val="0"/>
        </w:numPr>
        <w:rPr>
          <w:sz w:val="24"/>
        </w:rPr>
      </w:pPr>
      <w:r w:rsidRPr="00A23366">
        <w:rPr>
          <w:sz w:val="24"/>
        </w:rPr>
        <w:t xml:space="preserve">Sous-critère 3 : </w:t>
      </w:r>
      <w:r>
        <w:rPr>
          <w:sz w:val="24"/>
        </w:rPr>
        <w:t>Garanties apportées pour assurer le respect des délais – 15 points</w:t>
      </w:r>
    </w:p>
    <w:p w14:paraId="00906409" w14:textId="77777777" w:rsidR="00A23366" w:rsidRPr="00A23366" w:rsidRDefault="00A23366" w:rsidP="00A23366">
      <w:pPr>
        <w:rPr>
          <w:i/>
          <w:sz w:val="20"/>
          <w:szCs w:val="22"/>
        </w:rPr>
      </w:pPr>
      <w:r w:rsidRPr="00A23366">
        <w:rPr>
          <w:i/>
          <w:sz w:val="20"/>
          <w:szCs w:val="22"/>
        </w:rPr>
        <w:t>Ce critère est analysé au regard des éléments apportés au sein du mémoire technique concernant les garanties apportées sur la disponibilité de l’équipe proposée et sur le respect des délais indiqués au sein du CCTP pour l’établissement des devis et pour l’exécution de l’ensemble des prestations (rapport annuel, autres types de supports).</w:t>
      </w:r>
    </w:p>
    <w:p w14:paraId="3FD51F74" w14:textId="7A745F64" w:rsidR="00A23366" w:rsidRDefault="00A23366" w:rsidP="00A23366">
      <w:pPr>
        <w:rPr>
          <w:i/>
          <w:sz w:val="20"/>
          <w:szCs w:val="22"/>
        </w:rPr>
      </w:pPr>
      <w:r w:rsidRPr="00A23366">
        <w:rPr>
          <w:i/>
          <w:sz w:val="20"/>
          <w:szCs w:val="22"/>
        </w:rPr>
        <w:t xml:space="preserve">Une attention particulière sera portée sur les détails apportés par le candidat pour montrer ses capacités de disponibilité, de conseil, d’adaptation, réactivité et </w:t>
      </w:r>
      <w:proofErr w:type="spellStart"/>
      <w:r w:rsidRPr="00A23366">
        <w:rPr>
          <w:i/>
          <w:sz w:val="20"/>
          <w:szCs w:val="22"/>
        </w:rPr>
        <w:t>decoordination</w:t>
      </w:r>
      <w:proofErr w:type="spellEnd"/>
      <w:r w:rsidRPr="00A23366">
        <w:rPr>
          <w:i/>
          <w:sz w:val="20"/>
          <w:szCs w:val="22"/>
        </w:rPr>
        <w:t>.</w:t>
      </w:r>
    </w:p>
    <w:p w14:paraId="5D7C7830" w14:textId="7B9D511D" w:rsidR="00A23366" w:rsidRPr="00C948AD" w:rsidRDefault="00A23366" w:rsidP="00A23366">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565AF47" w14:textId="0A00A8A6" w:rsidR="00A23366" w:rsidRDefault="00A23366" w:rsidP="00A23366">
      <w:pPr>
        <w:pStyle w:val="Titre1"/>
        <w:numPr>
          <w:ilvl w:val="0"/>
          <w:numId w:val="0"/>
        </w:numPr>
      </w:pPr>
      <w:r>
        <w:t xml:space="preserve">Critère n°2 : </w:t>
      </w:r>
      <w:proofErr w:type="spellStart"/>
      <w:r>
        <w:t>Qalité</w:t>
      </w:r>
      <w:proofErr w:type="spellEnd"/>
      <w:r>
        <w:t xml:space="preserve"> des profils des intervenants – 25 points</w:t>
      </w:r>
    </w:p>
    <w:p w14:paraId="5652AE10" w14:textId="1C76796F" w:rsidR="00A23366" w:rsidRDefault="00796F55" w:rsidP="00796F55">
      <w:pPr>
        <w:rPr>
          <w:i/>
          <w:sz w:val="20"/>
          <w:szCs w:val="22"/>
        </w:rPr>
      </w:pPr>
      <w:r w:rsidRPr="00FF3324">
        <w:rPr>
          <w:i/>
          <w:sz w:val="20"/>
          <w:szCs w:val="22"/>
        </w:rPr>
        <w:t>Ce critère est analysé sur la base de l’évaluation des sous-critères suivants, pondérés comme suit :</w:t>
      </w:r>
    </w:p>
    <w:p w14:paraId="081D5FDC" w14:textId="21B24DBB" w:rsidR="00796F55" w:rsidRDefault="00796F55" w:rsidP="00796F55">
      <w:pPr>
        <w:pStyle w:val="Titre2"/>
        <w:numPr>
          <w:ilvl w:val="0"/>
          <w:numId w:val="0"/>
        </w:numPr>
        <w:ind w:left="576" w:hanging="576"/>
        <w:rPr>
          <w:sz w:val="24"/>
          <w:szCs w:val="24"/>
        </w:rPr>
      </w:pPr>
      <w:r w:rsidRPr="00796F55">
        <w:rPr>
          <w:sz w:val="24"/>
        </w:rPr>
        <w:lastRenderedPageBreak/>
        <w:t>Sous-critère 1 </w:t>
      </w:r>
      <w:r w:rsidRPr="00796F55">
        <w:rPr>
          <w:sz w:val="24"/>
          <w:szCs w:val="24"/>
        </w:rPr>
        <w:t>: Dimensionnement de l’équipe dédiée au marché</w:t>
      </w:r>
      <w:r>
        <w:rPr>
          <w:sz w:val="24"/>
          <w:szCs w:val="24"/>
        </w:rPr>
        <w:t xml:space="preserve"> – 10 points</w:t>
      </w:r>
    </w:p>
    <w:p w14:paraId="73AD82F0" w14:textId="77777777" w:rsidR="00796F55" w:rsidRPr="00796F55" w:rsidRDefault="00796F55" w:rsidP="00796F55">
      <w:pPr>
        <w:rPr>
          <w:i/>
          <w:sz w:val="20"/>
          <w:szCs w:val="22"/>
        </w:rPr>
      </w:pPr>
      <w:r w:rsidRPr="00796F55">
        <w:rPr>
          <w:i/>
          <w:sz w:val="20"/>
          <w:szCs w:val="22"/>
        </w:rPr>
        <w:t>Ce sous-critère évalue le dimensionnement de l’équipe prévue par le candidat pour chaque prestation prévue au sein du CCTP, notamment au regard du nombre d’intervenants mobilisables.</w:t>
      </w:r>
    </w:p>
    <w:p w14:paraId="505CB867" w14:textId="0E0ADA55" w:rsidR="00796F55" w:rsidRDefault="00796F55" w:rsidP="00796F55">
      <w:pPr>
        <w:rPr>
          <w:i/>
          <w:sz w:val="20"/>
          <w:szCs w:val="22"/>
        </w:rPr>
      </w:pPr>
      <w:r w:rsidRPr="00796F55">
        <w:rPr>
          <w:i/>
          <w:sz w:val="20"/>
          <w:szCs w:val="22"/>
        </w:rPr>
        <w:t>Une attention particulière sera apportée à la description de la gestion, par l’équipe pressentie, d’une publication simultanée ou quasi simultanée (sur la même semaine) de l’ensemble des tomes du rapport annuel (jusqu’à 3).</w:t>
      </w:r>
    </w:p>
    <w:p w14:paraId="16A3FDC2" w14:textId="77777777" w:rsidR="00796F55" w:rsidRDefault="00796F55" w:rsidP="00796F55">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166A1C1" w14:textId="2D03A22C" w:rsidR="00796F55" w:rsidRDefault="00796F55" w:rsidP="00796F55">
      <w:pPr>
        <w:pStyle w:val="Titre2"/>
        <w:numPr>
          <w:ilvl w:val="0"/>
          <w:numId w:val="0"/>
        </w:numPr>
        <w:ind w:left="576" w:hanging="576"/>
        <w:rPr>
          <w:sz w:val="24"/>
          <w:szCs w:val="22"/>
        </w:rPr>
      </w:pPr>
      <w:r w:rsidRPr="00796F55">
        <w:rPr>
          <w:sz w:val="24"/>
        </w:rPr>
        <w:t xml:space="preserve">Sous-critère 2 : </w:t>
      </w:r>
      <w:r w:rsidRPr="00796F55">
        <w:rPr>
          <w:sz w:val="24"/>
          <w:szCs w:val="22"/>
        </w:rPr>
        <w:t>Expérience et expertise des profils des intervenants pressentis</w:t>
      </w:r>
      <w:r>
        <w:rPr>
          <w:sz w:val="24"/>
          <w:szCs w:val="22"/>
        </w:rPr>
        <w:t xml:space="preserve"> – 15 points</w:t>
      </w:r>
    </w:p>
    <w:p w14:paraId="3392839E" w14:textId="77777777" w:rsidR="00796F55" w:rsidRPr="00796F55" w:rsidRDefault="00796F55" w:rsidP="00796F55">
      <w:pPr>
        <w:rPr>
          <w:i/>
          <w:sz w:val="20"/>
          <w:szCs w:val="22"/>
        </w:rPr>
      </w:pPr>
      <w:r w:rsidRPr="00796F55">
        <w:rPr>
          <w:i/>
          <w:sz w:val="20"/>
          <w:szCs w:val="22"/>
        </w:rPr>
        <w:t>Le sous-critère notera l’adéquation de l’expérience et de l’expertise des profils pressentis avec les attentes exposées dans le CCTP.</w:t>
      </w:r>
    </w:p>
    <w:p w14:paraId="7F713438" w14:textId="4ECE2975" w:rsidR="00796F55" w:rsidRDefault="00796F55" w:rsidP="00796F55">
      <w:pPr>
        <w:rPr>
          <w:i/>
          <w:sz w:val="20"/>
          <w:szCs w:val="22"/>
        </w:rPr>
      </w:pPr>
      <w:r w:rsidRPr="00796F55">
        <w:rPr>
          <w:i/>
          <w:sz w:val="20"/>
          <w:szCs w:val="22"/>
        </w:rPr>
        <w:t>Elles seront évaluées au regard de leurs compétences, références et expériences, qui seront appréciées au vu des curriculum-vitae fournis, justifiant l’expertise de l’équipe pressentie, en particulier sur l’objet des prestations contenues au sein du marché et le maquettage de rapports annuels.</w:t>
      </w:r>
    </w:p>
    <w:p w14:paraId="24E97497" w14:textId="77777777" w:rsidR="00796F55" w:rsidRDefault="00796F55" w:rsidP="00796F55">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2AD433F" w14:textId="124EEAE1" w:rsidR="00796F55" w:rsidRDefault="00796F55" w:rsidP="00796F55">
      <w:pPr>
        <w:pStyle w:val="Titre1"/>
        <w:numPr>
          <w:ilvl w:val="0"/>
          <w:numId w:val="0"/>
        </w:numPr>
        <w:ind w:left="432" w:hanging="432"/>
      </w:pPr>
      <w:r>
        <w:lastRenderedPageBreak/>
        <w:t>Critère n°3 : Environnement – 5 points</w:t>
      </w:r>
    </w:p>
    <w:p w14:paraId="46D8D1E0" w14:textId="77777777" w:rsidR="00796F55" w:rsidRPr="00796F55" w:rsidRDefault="00796F55" w:rsidP="00796F55">
      <w:pPr>
        <w:rPr>
          <w:i/>
          <w:sz w:val="20"/>
          <w:szCs w:val="22"/>
        </w:rPr>
      </w:pPr>
      <w:r w:rsidRPr="00796F55">
        <w:rPr>
          <w:i/>
          <w:sz w:val="20"/>
          <w:szCs w:val="22"/>
        </w:rPr>
        <w:t xml:space="preserve">Ce critère évalue la description des mesures mises en œuvre par le candidat pour répondre aux enjeux environnementaux et réduire l’empreinte carbone dédiées à </w:t>
      </w:r>
      <w:r w:rsidRPr="00796F55">
        <w:rPr>
          <w:b/>
          <w:i/>
          <w:sz w:val="20"/>
          <w:szCs w:val="22"/>
          <w:u w:val="single"/>
        </w:rPr>
        <w:t>l’exécution des prestations</w:t>
      </w:r>
      <w:r w:rsidRPr="00796F55">
        <w:rPr>
          <w:i/>
          <w:sz w:val="20"/>
          <w:szCs w:val="22"/>
        </w:rPr>
        <w:t xml:space="preserve"> du marché.</w:t>
      </w:r>
    </w:p>
    <w:p w14:paraId="789565F1" w14:textId="06F868B4" w:rsidR="00796F55" w:rsidRPr="00796F55" w:rsidRDefault="00796F55" w:rsidP="00796F55">
      <w:pPr>
        <w:rPr>
          <w:i/>
          <w:sz w:val="20"/>
          <w:szCs w:val="22"/>
        </w:rPr>
      </w:pPr>
      <w:r w:rsidRPr="00796F55">
        <w:rPr>
          <w:i/>
          <w:sz w:val="20"/>
          <w:szCs w:val="22"/>
        </w:rPr>
        <w:t xml:space="preserve">Une importance particulière sera portée à la capacité du candidat à </w:t>
      </w:r>
      <w:r w:rsidRPr="00796F55">
        <w:rPr>
          <w:b/>
          <w:i/>
          <w:sz w:val="20"/>
          <w:szCs w:val="22"/>
          <w:u w:val="single"/>
        </w:rPr>
        <w:t>circonstancier au présent marché</w:t>
      </w:r>
      <w:r w:rsidRPr="00796F55">
        <w:rPr>
          <w:i/>
          <w:sz w:val="20"/>
          <w:szCs w:val="22"/>
        </w:rPr>
        <w:t> : l’Autorité ne prendra pas en compte les mesures générales, telles que la politique RSE de l’entreprise, et qui n’ont pas de mise en application pour le marché.</w:t>
      </w:r>
    </w:p>
    <w:p w14:paraId="53772294" w14:textId="5D3DBEFE" w:rsidR="00796F55" w:rsidRPr="00C948AD" w:rsidRDefault="00796F55" w:rsidP="00796F55">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6ED383" w14:textId="7F88DF4F" w:rsidR="00EC001E" w:rsidRDefault="00EC001E" w:rsidP="00EC001E">
      <w:pPr>
        <w:pStyle w:val="Titre1"/>
        <w:numPr>
          <w:ilvl w:val="0"/>
          <w:numId w:val="0"/>
        </w:numPr>
        <w:jc w:val="both"/>
      </w:pPr>
      <w:r w:rsidRPr="00274FCB">
        <w:t>Critère n°</w:t>
      </w:r>
      <w:r w:rsidR="00796F55">
        <w:t>4</w:t>
      </w:r>
      <w:r w:rsidRPr="00274FCB">
        <w:t xml:space="preserve"> : Prix</w:t>
      </w:r>
      <w:r>
        <w:t xml:space="preserve"> – </w:t>
      </w:r>
      <w:r w:rsidR="00796F55">
        <w:t>30</w:t>
      </w:r>
      <w:r w:rsidRPr="00274FCB">
        <w:t xml:space="preserve"> points</w:t>
      </w:r>
    </w:p>
    <w:p w14:paraId="609E1105" w14:textId="77777777" w:rsidR="00796F55" w:rsidRPr="00796F55" w:rsidRDefault="00796F55" w:rsidP="00796F55">
      <w:pPr>
        <w:rPr>
          <w:i/>
          <w:sz w:val="20"/>
          <w:szCs w:val="22"/>
        </w:rPr>
      </w:pPr>
      <w:r w:rsidRPr="00796F55">
        <w:rPr>
          <w:i/>
          <w:sz w:val="20"/>
          <w:szCs w:val="22"/>
        </w:rPr>
        <w:t>Le prix des prestations est analysé au regard du devis quantitatif estimatif (DQE) remis par les candidats.</w:t>
      </w:r>
    </w:p>
    <w:p w14:paraId="3243E365" w14:textId="0716F7F0" w:rsidR="00796F55" w:rsidRPr="00796F55" w:rsidRDefault="00796F55" w:rsidP="00796F55">
      <w:pPr>
        <w:rPr>
          <w:i/>
          <w:sz w:val="20"/>
          <w:szCs w:val="22"/>
        </w:rPr>
      </w:pPr>
      <w:r w:rsidRPr="00796F55">
        <w:rPr>
          <w:i/>
          <w:sz w:val="20"/>
          <w:szCs w:val="22"/>
        </w:rPr>
        <w:t>Dans la mesure où l’analyse porte sur le prix de règlement, dans le cas où le candidat serait exonéré de TVA, mais que l’Autorité serait amenée à verser la TVA pour la prestation, le prix retenu pour la note sera celui du DQE incrémenté de la TVA qui sera payée par l’Arcep. Le taux de la TVA pour les prestations prévues au sein du marché est de 20%.</w:t>
      </w:r>
    </w:p>
    <w:p w14:paraId="0A4DEB7C" w14:textId="51D09CB5" w:rsidR="00796F55" w:rsidRPr="00796F55" w:rsidRDefault="00796F55" w:rsidP="00796F55">
      <w:pPr>
        <w:rPr>
          <w:i/>
          <w:sz w:val="20"/>
          <w:szCs w:val="22"/>
        </w:rPr>
      </w:pPr>
      <w:r w:rsidRPr="00796F55">
        <w:rPr>
          <w:i/>
          <w:sz w:val="20"/>
          <w:szCs w:val="22"/>
        </w:rPr>
        <w:t>La note d</w:t>
      </w:r>
      <w:bookmarkStart w:id="0" w:name="_GoBack"/>
      <w:bookmarkEnd w:id="0"/>
      <w:r w:rsidRPr="00796F55">
        <w:rPr>
          <w:i/>
          <w:sz w:val="20"/>
          <w:szCs w:val="22"/>
        </w:rPr>
        <w:t xml:space="preserve">e 30/30 est attribuée à l’offre la moins </w:t>
      </w:r>
      <w:proofErr w:type="spellStart"/>
      <w:r w:rsidRPr="00796F55">
        <w:rPr>
          <w:i/>
          <w:sz w:val="20"/>
          <w:szCs w:val="22"/>
        </w:rPr>
        <w:t>disante</w:t>
      </w:r>
      <w:proofErr w:type="spellEnd"/>
      <w:r w:rsidRPr="00796F55">
        <w:rPr>
          <w:i/>
          <w:sz w:val="20"/>
          <w:szCs w:val="22"/>
        </w:rPr>
        <w:t>.</w:t>
      </w:r>
    </w:p>
    <w:p w14:paraId="0CFD0FCE" w14:textId="4B18ADFD" w:rsidR="00796F55" w:rsidRPr="00796F55" w:rsidRDefault="00796F55" w:rsidP="00796F55">
      <w:pPr>
        <w:rPr>
          <w:i/>
          <w:sz w:val="20"/>
          <w:szCs w:val="22"/>
        </w:rPr>
      </w:pPr>
      <w:r w:rsidRPr="00796F55">
        <w:rPr>
          <w:i/>
          <w:sz w:val="20"/>
          <w:szCs w:val="22"/>
        </w:rPr>
        <w:t>La note des autres candidats est calculée selon la formule suivante :</w:t>
      </w:r>
    </w:p>
    <w:p w14:paraId="39206FD3" w14:textId="0CD7926A" w:rsidR="00EC001E" w:rsidRPr="00C948AD" w:rsidRDefault="00796F55" w:rsidP="00C948AD">
      <w:pPr>
        <w:jc w:val="center"/>
        <w:rPr>
          <w:i/>
          <w:sz w:val="20"/>
          <w:szCs w:val="22"/>
        </w:rPr>
      </w:pPr>
      <w:r w:rsidRPr="00796F55">
        <w:rPr>
          <w:i/>
          <w:sz w:val="20"/>
          <w:szCs w:val="22"/>
        </w:rPr>
        <w:t xml:space="preserve">(Prix de l’offre la moins </w:t>
      </w:r>
      <w:proofErr w:type="spellStart"/>
      <w:r w:rsidRPr="00796F55">
        <w:rPr>
          <w:i/>
          <w:sz w:val="20"/>
          <w:szCs w:val="22"/>
        </w:rPr>
        <w:t>disante</w:t>
      </w:r>
      <w:proofErr w:type="spellEnd"/>
      <w:r w:rsidRPr="00796F55">
        <w:rPr>
          <w:i/>
          <w:sz w:val="20"/>
          <w:szCs w:val="22"/>
        </w:rPr>
        <w:t xml:space="preserve"> TTC / Prix de l’offre évaluée TTC) x 30</w:t>
      </w:r>
    </w:p>
    <w:sectPr w:rsidR="00EC001E" w:rsidRPr="00C948AD"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MS Mincho"/>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77777777"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r w:rsidR="006C3E21">
      <w:fldChar w:fldCharType="begin"/>
    </w:r>
    <w:r w:rsidR="006C3E21">
      <w:instrText xml:space="preserve"> NUMPAGES   \* MERGEFORMAT </w:instrText>
    </w:r>
    <w:r w:rsidR="006C3E21">
      <w:fldChar w:fldCharType="separate"/>
    </w:r>
    <w:r>
      <w:rPr>
        <w:noProof/>
      </w:rPr>
      <w:t>3</w:t>
    </w:r>
    <w:r w:rsidR="006C3E21">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DE26" w14:textId="669CA1B4" w:rsidR="009E4D43" w:rsidRPr="006D7393" w:rsidRDefault="009E4D43" w:rsidP="00CD0CEF">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B12E0C"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1"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2"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0"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4"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6"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F7B3B26"/>
    <w:multiLevelType w:val="hybridMultilevel"/>
    <w:tmpl w:val="DEE8F298"/>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29"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0"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3"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5" w15:restartNumberingAfterBreak="0">
    <w:nsid w:val="737D498B"/>
    <w:multiLevelType w:val="hybridMultilevel"/>
    <w:tmpl w:val="46AE0F96"/>
    <w:lvl w:ilvl="0" w:tplc="3E4EB816">
      <w:start w:val="7"/>
      <w:numFmt w:val="bullet"/>
      <w:lvlText w:val="-"/>
      <w:lvlJc w:val="left"/>
      <w:pPr>
        <w:ind w:left="360" w:hanging="360"/>
      </w:pPr>
      <w:rPr>
        <w:rFonts w:ascii="Times New Roman" w:eastAsia="Times New Roman" w:hAnsi="Times New Roman" w:cs="Times New Roman" w:hint="default"/>
      </w:rPr>
    </w:lvl>
    <w:lvl w:ilvl="1" w:tplc="E2F8D642">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24"/>
  </w:num>
  <w:num w:numId="2">
    <w:abstractNumId w:val="7"/>
  </w:num>
  <w:num w:numId="3">
    <w:abstractNumId w:val="10"/>
  </w:num>
  <w:num w:numId="4">
    <w:abstractNumId w:val="19"/>
  </w:num>
  <w:num w:numId="5">
    <w:abstractNumId w:val="8"/>
  </w:num>
  <w:num w:numId="6">
    <w:abstractNumId w:val="34"/>
  </w:num>
  <w:num w:numId="7">
    <w:abstractNumId w:val="28"/>
  </w:num>
  <w:num w:numId="8">
    <w:abstractNumId w:val="2"/>
  </w:num>
  <w:num w:numId="9">
    <w:abstractNumId w:val="29"/>
  </w:num>
  <w:num w:numId="10">
    <w:abstractNumId w:val="12"/>
  </w:num>
  <w:num w:numId="11">
    <w:abstractNumId w:val="25"/>
  </w:num>
  <w:num w:numId="12">
    <w:abstractNumId w:val="22"/>
  </w:num>
  <w:num w:numId="13">
    <w:abstractNumId w:val="33"/>
  </w:num>
  <w:num w:numId="14">
    <w:abstractNumId w:val="0"/>
  </w:num>
  <w:num w:numId="15">
    <w:abstractNumId w:val="23"/>
  </w:num>
  <w:num w:numId="16">
    <w:abstractNumId w:val="9"/>
  </w:num>
  <w:num w:numId="17">
    <w:abstractNumId w:val="11"/>
  </w:num>
  <w:num w:numId="18">
    <w:abstractNumId w:val="1"/>
  </w:num>
  <w:num w:numId="19">
    <w:abstractNumId w:val="20"/>
  </w:num>
  <w:num w:numId="20">
    <w:abstractNumId w:val="5"/>
  </w:num>
  <w:num w:numId="21">
    <w:abstractNumId w:val="17"/>
  </w:num>
  <w:num w:numId="22">
    <w:abstractNumId w:val="30"/>
  </w:num>
  <w:num w:numId="23">
    <w:abstractNumId w:val="27"/>
  </w:num>
  <w:num w:numId="24">
    <w:abstractNumId w:val="6"/>
  </w:num>
  <w:num w:numId="25">
    <w:abstractNumId w:val="31"/>
  </w:num>
  <w:num w:numId="26">
    <w:abstractNumId w:val="26"/>
  </w:num>
  <w:num w:numId="27">
    <w:abstractNumId w:val="21"/>
  </w:num>
  <w:num w:numId="28">
    <w:abstractNumId w:val="3"/>
  </w:num>
  <w:num w:numId="29">
    <w:abstractNumId w:val="16"/>
  </w:num>
  <w:num w:numId="30">
    <w:abstractNumId w:val="18"/>
  </w:num>
  <w:num w:numId="31">
    <w:abstractNumId w:val="15"/>
  </w:num>
  <w:num w:numId="32">
    <w:abstractNumId w:val="4"/>
  </w:num>
  <w:num w:numId="33">
    <w:abstractNumId w:val="15"/>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4"/>
  </w:num>
  <w:num w:numId="36">
    <w:abstractNumId w:val="3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557"/>
    <w:rsid w:val="00015201"/>
    <w:rsid w:val="00023E14"/>
    <w:rsid w:val="00024323"/>
    <w:rsid w:val="0002566F"/>
    <w:rsid w:val="00027AFD"/>
    <w:rsid w:val="00035953"/>
    <w:rsid w:val="0003713C"/>
    <w:rsid w:val="00037C6A"/>
    <w:rsid w:val="00055F8C"/>
    <w:rsid w:val="000618E3"/>
    <w:rsid w:val="000641A5"/>
    <w:rsid w:val="00085569"/>
    <w:rsid w:val="000909A1"/>
    <w:rsid w:val="00096C69"/>
    <w:rsid w:val="000A0A51"/>
    <w:rsid w:val="000A0A98"/>
    <w:rsid w:val="000A3A6E"/>
    <w:rsid w:val="000B183F"/>
    <w:rsid w:val="000B3FB9"/>
    <w:rsid w:val="000B4E1F"/>
    <w:rsid w:val="000C2EA9"/>
    <w:rsid w:val="000C7AD3"/>
    <w:rsid w:val="000D0041"/>
    <w:rsid w:val="000D0586"/>
    <w:rsid w:val="000D4E65"/>
    <w:rsid w:val="000E170B"/>
    <w:rsid w:val="000E1AC0"/>
    <w:rsid w:val="000E6255"/>
    <w:rsid w:val="000F0520"/>
    <w:rsid w:val="000F4D7E"/>
    <w:rsid w:val="000F500C"/>
    <w:rsid w:val="000F6B1C"/>
    <w:rsid w:val="000F7866"/>
    <w:rsid w:val="001132B3"/>
    <w:rsid w:val="00114B97"/>
    <w:rsid w:val="00125502"/>
    <w:rsid w:val="0013574E"/>
    <w:rsid w:val="001365FD"/>
    <w:rsid w:val="001524E9"/>
    <w:rsid w:val="0015601B"/>
    <w:rsid w:val="00162A83"/>
    <w:rsid w:val="001709CE"/>
    <w:rsid w:val="0017759F"/>
    <w:rsid w:val="00186A22"/>
    <w:rsid w:val="001921E2"/>
    <w:rsid w:val="00197582"/>
    <w:rsid w:val="001A7105"/>
    <w:rsid w:val="001C0342"/>
    <w:rsid w:val="001C090A"/>
    <w:rsid w:val="001C09A2"/>
    <w:rsid w:val="001D3C9F"/>
    <w:rsid w:val="001D6849"/>
    <w:rsid w:val="001E296D"/>
    <w:rsid w:val="001E3627"/>
    <w:rsid w:val="001F4D61"/>
    <w:rsid w:val="001F691B"/>
    <w:rsid w:val="0021059F"/>
    <w:rsid w:val="00220475"/>
    <w:rsid w:val="00224BB7"/>
    <w:rsid w:val="00227BF4"/>
    <w:rsid w:val="00232DC7"/>
    <w:rsid w:val="00233948"/>
    <w:rsid w:val="00274FCB"/>
    <w:rsid w:val="0028555C"/>
    <w:rsid w:val="00291745"/>
    <w:rsid w:val="002950DC"/>
    <w:rsid w:val="002A7B41"/>
    <w:rsid w:val="002B0AFA"/>
    <w:rsid w:val="002B7170"/>
    <w:rsid w:val="002E4781"/>
    <w:rsid w:val="002E5B68"/>
    <w:rsid w:val="002E75B9"/>
    <w:rsid w:val="0030467D"/>
    <w:rsid w:val="00304E73"/>
    <w:rsid w:val="00310E33"/>
    <w:rsid w:val="00312EA4"/>
    <w:rsid w:val="00317697"/>
    <w:rsid w:val="0032186A"/>
    <w:rsid w:val="00332005"/>
    <w:rsid w:val="00333424"/>
    <w:rsid w:val="003338E3"/>
    <w:rsid w:val="00337F00"/>
    <w:rsid w:val="00343113"/>
    <w:rsid w:val="00345AF1"/>
    <w:rsid w:val="00350ED6"/>
    <w:rsid w:val="003763E8"/>
    <w:rsid w:val="00377E33"/>
    <w:rsid w:val="00385DBE"/>
    <w:rsid w:val="00396A66"/>
    <w:rsid w:val="00396C57"/>
    <w:rsid w:val="003A2A08"/>
    <w:rsid w:val="003B42F8"/>
    <w:rsid w:val="003B7A57"/>
    <w:rsid w:val="003C5BFD"/>
    <w:rsid w:val="003D74F8"/>
    <w:rsid w:val="003E00B8"/>
    <w:rsid w:val="003E05CB"/>
    <w:rsid w:val="003E234F"/>
    <w:rsid w:val="003E23BF"/>
    <w:rsid w:val="003E5693"/>
    <w:rsid w:val="003E70E7"/>
    <w:rsid w:val="003E7DDC"/>
    <w:rsid w:val="003F00AA"/>
    <w:rsid w:val="003F29A2"/>
    <w:rsid w:val="003F3431"/>
    <w:rsid w:val="00400F4F"/>
    <w:rsid w:val="00417039"/>
    <w:rsid w:val="00422D0A"/>
    <w:rsid w:val="00427684"/>
    <w:rsid w:val="004316E7"/>
    <w:rsid w:val="00435AEC"/>
    <w:rsid w:val="004404C7"/>
    <w:rsid w:val="00441B27"/>
    <w:rsid w:val="00442BEA"/>
    <w:rsid w:val="00443496"/>
    <w:rsid w:val="004552C8"/>
    <w:rsid w:val="004626C5"/>
    <w:rsid w:val="00482CAE"/>
    <w:rsid w:val="00495C37"/>
    <w:rsid w:val="00496F42"/>
    <w:rsid w:val="0049714D"/>
    <w:rsid w:val="004971F2"/>
    <w:rsid w:val="004A158B"/>
    <w:rsid w:val="004A3979"/>
    <w:rsid w:val="004B4F53"/>
    <w:rsid w:val="004B62E8"/>
    <w:rsid w:val="004C108F"/>
    <w:rsid w:val="004C11D1"/>
    <w:rsid w:val="004C797C"/>
    <w:rsid w:val="004D719B"/>
    <w:rsid w:val="004E25BA"/>
    <w:rsid w:val="004E3218"/>
    <w:rsid w:val="004F4050"/>
    <w:rsid w:val="00505D74"/>
    <w:rsid w:val="00506D77"/>
    <w:rsid w:val="00510BD9"/>
    <w:rsid w:val="00512382"/>
    <w:rsid w:val="00513ABC"/>
    <w:rsid w:val="005168C8"/>
    <w:rsid w:val="005201E4"/>
    <w:rsid w:val="00522A8C"/>
    <w:rsid w:val="00524201"/>
    <w:rsid w:val="00547F2F"/>
    <w:rsid w:val="00554C4A"/>
    <w:rsid w:val="0056326A"/>
    <w:rsid w:val="00565F99"/>
    <w:rsid w:val="00567497"/>
    <w:rsid w:val="00574162"/>
    <w:rsid w:val="00576F19"/>
    <w:rsid w:val="005860EF"/>
    <w:rsid w:val="00587467"/>
    <w:rsid w:val="0059639E"/>
    <w:rsid w:val="005A01D5"/>
    <w:rsid w:val="005A1D19"/>
    <w:rsid w:val="005A5922"/>
    <w:rsid w:val="005D3EE7"/>
    <w:rsid w:val="005E6217"/>
    <w:rsid w:val="005F085D"/>
    <w:rsid w:val="005F0CA1"/>
    <w:rsid w:val="00600CF7"/>
    <w:rsid w:val="0060192C"/>
    <w:rsid w:val="00601A7D"/>
    <w:rsid w:val="00602789"/>
    <w:rsid w:val="00604C65"/>
    <w:rsid w:val="00606748"/>
    <w:rsid w:val="00611D8A"/>
    <w:rsid w:val="0061285A"/>
    <w:rsid w:val="00612B07"/>
    <w:rsid w:val="006309FF"/>
    <w:rsid w:val="0063168F"/>
    <w:rsid w:val="0063787F"/>
    <w:rsid w:val="00642401"/>
    <w:rsid w:val="0065221F"/>
    <w:rsid w:val="00656941"/>
    <w:rsid w:val="00656F1C"/>
    <w:rsid w:val="00656FC3"/>
    <w:rsid w:val="0066113B"/>
    <w:rsid w:val="00674D5C"/>
    <w:rsid w:val="006778C6"/>
    <w:rsid w:val="00682CE2"/>
    <w:rsid w:val="00692CD8"/>
    <w:rsid w:val="00693EAF"/>
    <w:rsid w:val="00695C8E"/>
    <w:rsid w:val="006975AC"/>
    <w:rsid w:val="006A72FB"/>
    <w:rsid w:val="006B19E4"/>
    <w:rsid w:val="006B27E7"/>
    <w:rsid w:val="006C3E21"/>
    <w:rsid w:val="006E31CE"/>
    <w:rsid w:val="006E32B6"/>
    <w:rsid w:val="006F570A"/>
    <w:rsid w:val="007011CC"/>
    <w:rsid w:val="00721E26"/>
    <w:rsid w:val="0073116F"/>
    <w:rsid w:val="00733A89"/>
    <w:rsid w:val="007439B6"/>
    <w:rsid w:val="00757FE0"/>
    <w:rsid w:val="00765201"/>
    <w:rsid w:val="00771A3F"/>
    <w:rsid w:val="007727D6"/>
    <w:rsid w:val="00783AD0"/>
    <w:rsid w:val="00785A57"/>
    <w:rsid w:val="00796F55"/>
    <w:rsid w:val="007A2C95"/>
    <w:rsid w:val="007A3594"/>
    <w:rsid w:val="007A378F"/>
    <w:rsid w:val="007A3965"/>
    <w:rsid w:val="007A5A9B"/>
    <w:rsid w:val="007B1298"/>
    <w:rsid w:val="007C147E"/>
    <w:rsid w:val="007C4732"/>
    <w:rsid w:val="007C57FC"/>
    <w:rsid w:val="007C79E9"/>
    <w:rsid w:val="007D494B"/>
    <w:rsid w:val="007E6BF9"/>
    <w:rsid w:val="007F3710"/>
    <w:rsid w:val="008131FE"/>
    <w:rsid w:val="0081432F"/>
    <w:rsid w:val="008160DE"/>
    <w:rsid w:val="00817EA8"/>
    <w:rsid w:val="00820704"/>
    <w:rsid w:val="00823C5F"/>
    <w:rsid w:val="00830277"/>
    <w:rsid w:val="008312F9"/>
    <w:rsid w:val="00851CC9"/>
    <w:rsid w:val="00851DE8"/>
    <w:rsid w:val="00854363"/>
    <w:rsid w:val="00855091"/>
    <w:rsid w:val="00865460"/>
    <w:rsid w:val="00867036"/>
    <w:rsid w:val="0087330D"/>
    <w:rsid w:val="00875A9D"/>
    <w:rsid w:val="0089715B"/>
    <w:rsid w:val="0089748F"/>
    <w:rsid w:val="008A1287"/>
    <w:rsid w:val="008A3D3E"/>
    <w:rsid w:val="008B2743"/>
    <w:rsid w:val="008B6B42"/>
    <w:rsid w:val="008C21DC"/>
    <w:rsid w:val="008C6EBD"/>
    <w:rsid w:val="008D5B6F"/>
    <w:rsid w:val="008E3F15"/>
    <w:rsid w:val="009025C9"/>
    <w:rsid w:val="00904850"/>
    <w:rsid w:val="00911277"/>
    <w:rsid w:val="009162B0"/>
    <w:rsid w:val="00916895"/>
    <w:rsid w:val="0091703F"/>
    <w:rsid w:val="0092215B"/>
    <w:rsid w:val="00922EFE"/>
    <w:rsid w:val="00926274"/>
    <w:rsid w:val="009263DF"/>
    <w:rsid w:val="00930CE1"/>
    <w:rsid w:val="00941B2B"/>
    <w:rsid w:val="0094607C"/>
    <w:rsid w:val="00954728"/>
    <w:rsid w:val="00956944"/>
    <w:rsid w:val="00960D62"/>
    <w:rsid w:val="00961D4C"/>
    <w:rsid w:val="0097294F"/>
    <w:rsid w:val="009753CC"/>
    <w:rsid w:val="00976924"/>
    <w:rsid w:val="00986CAF"/>
    <w:rsid w:val="0098797A"/>
    <w:rsid w:val="009908EC"/>
    <w:rsid w:val="0099365B"/>
    <w:rsid w:val="009979F8"/>
    <w:rsid w:val="009A5E96"/>
    <w:rsid w:val="009B5297"/>
    <w:rsid w:val="009C758F"/>
    <w:rsid w:val="009D2423"/>
    <w:rsid w:val="009E4D43"/>
    <w:rsid w:val="009E67DF"/>
    <w:rsid w:val="009F0570"/>
    <w:rsid w:val="009F2094"/>
    <w:rsid w:val="009F321E"/>
    <w:rsid w:val="009F439C"/>
    <w:rsid w:val="00A004F9"/>
    <w:rsid w:val="00A03B28"/>
    <w:rsid w:val="00A12970"/>
    <w:rsid w:val="00A14888"/>
    <w:rsid w:val="00A23366"/>
    <w:rsid w:val="00A249F5"/>
    <w:rsid w:val="00A258A5"/>
    <w:rsid w:val="00A265CA"/>
    <w:rsid w:val="00A43ED8"/>
    <w:rsid w:val="00A55E05"/>
    <w:rsid w:val="00A62DE4"/>
    <w:rsid w:val="00A66827"/>
    <w:rsid w:val="00A722DA"/>
    <w:rsid w:val="00A727CD"/>
    <w:rsid w:val="00A763B5"/>
    <w:rsid w:val="00A8111B"/>
    <w:rsid w:val="00A822A3"/>
    <w:rsid w:val="00A832A3"/>
    <w:rsid w:val="00A84FC5"/>
    <w:rsid w:val="00A858CA"/>
    <w:rsid w:val="00AA6CAC"/>
    <w:rsid w:val="00AB1226"/>
    <w:rsid w:val="00AB27B8"/>
    <w:rsid w:val="00AB6F57"/>
    <w:rsid w:val="00AC3F1C"/>
    <w:rsid w:val="00AD33D0"/>
    <w:rsid w:val="00AE0285"/>
    <w:rsid w:val="00B006D6"/>
    <w:rsid w:val="00B01FA7"/>
    <w:rsid w:val="00B03433"/>
    <w:rsid w:val="00B1267B"/>
    <w:rsid w:val="00B1642D"/>
    <w:rsid w:val="00B1662E"/>
    <w:rsid w:val="00B24427"/>
    <w:rsid w:val="00B34A72"/>
    <w:rsid w:val="00B445E0"/>
    <w:rsid w:val="00B44B15"/>
    <w:rsid w:val="00B44D0F"/>
    <w:rsid w:val="00B476AC"/>
    <w:rsid w:val="00B5315F"/>
    <w:rsid w:val="00B56FBE"/>
    <w:rsid w:val="00B660A7"/>
    <w:rsid w:val="00B74933"/>
    <w:rsid w:val="00B767C5"/>
    <w:rsid w:val="00B92512"/>
    <w:rsid w:val="00B94BC2"/>
    <w:rsid w:val="00BA6683"/>
    <w:rsid w:val="00BB33BE"/>
    <w:rsid w:val="00BD3F1E"/>
    <w:rsid w:val="00BE0C2B"/>
    <w:rsid w:val="00BE4B44"/>
    <w:rsid w:val="00BE4B7D"/>
    <w:rsid w:val="00BF011E"/>
    <w:rsid w:val="00C00235"/>
    <w:rsid w:val="00C0268E"/>
    <w:rsid w:val="00C07F74"/>
    <w:rsid w:val="00C14A60"/>
    <w:rsid w:val="00C22AF2"/>
    <w:rsid w:val="00C24D2B"/>
    <w:rsid w:val="00C3594D"/>
    <w:rsid w:val="00C35C90"/>
    <w:rsid w:val="00C51542"/>
    <w:rsid w:val="00C516A3"/>
    <w:rsid w:val="00C55025"/>
    <w:rsid w:val="00C73701"/>
    <w:rsid w:val="00C77D92"/>
    <w:rsid w:val="00C80EC1"/>
    <w:rsid w:val="00C948AD"/>
    <w:rsid w:val="00CA1DC9"/>
    <w:rsid w:val="00CB0C2D"/>
    <w:rsid w:val="00CB32BF"/>
    <w:rsid w:val="00CB5B52"/>
    <w:rsid w:val="00CB71A7"/>
    <w:rsid w:val="00CC229D"/>
    <w:rsid w:val="00CD0CEF"/>
    <w:rsid w:val="00CF3CBF"/>
    <w:rsid w:val="00D00C7E"/>
    <w:rsid w:val="00D02982"/>
    <w:rsid w:val="00D03EE3"/>
    <w:rsid w:val="00D05B90"/>
    <w:rsid w:val="00D0653F"/>
    <w:rsid w:val="00D12786"/>
    <w:rsid w:val="00D16903"/>
    <w:rsid w:val="00D3166C"/>
    <w:rsid w:val="00D326DF"/>
    <w:rsid w:val="00D73825"/>
    <w:rsid w:val="00D81BD2"/>
    <w:rsid w:val="00D82B1A"/>
    <w:rsid w:val="00D839C4"/>
    <w:rsid w:val="00D93AA4"/>
    <w:rsid w:val="00DA0517"/>
    <w:rsid w:val="00DA3285"/>
    <w:rsid w:val="00DB547B"/>
    <w:rsid w:val="00DB60FE"/>
    <w:rsid w:val="00DC02D4"/>
    <w:rsid w:val="00DC12F3"/>
    <w:rsid w:val="00DC2F60"/>
    <w:rsid w:val="00DC75B7"/>
    <w:rsid w:val="00DD658F"/>
    <w:rsid w:val="00DF596E"/>
    <w:rsid w:val="00DF5E5D"/>
    <w:rsid w:val="00E1542A"/>
    <w:rsid w:val="00E20D65"/>
    <w:rsid w:val="00E25994"/>
    <w:rsid w:val="00E279E7"/>
    <w:rsid w:val="00E319CC"/>
    <w:rsid w:val="00E461CB"/>
    <w:rsid w:val="00E5006B"/>
    <w:rsid w:val="00E544B7"/>
    <w:rsid w:val="00E66FFA"/>
    <w:rsid w:val="00E67F67"/>
    <w:rsid w:val="00E70400"/>
    <w:rsid w:val="00E737E6"/>
    <w:rsid w:val="00E80A21"/>
    <w:rsid w:val="00E812B0"/>
    <w:rsid w:val="00E83030"/>
    <w:rsid w:val="00E83D82"/>
    <w:rsid w:val="00E85E68"/>
    <w:rsid w:val="00EA5F66"/>
    <w:rsid w:val="00EA61EF"/>
    <w:rsid w:val="00EC001E"/>
    <w:rsid w:val="00EC5545"/>
    <w:rsid w:val="00EE0144"/>
    <w:rsid w:val="00EF13E2"/>
    <w:rsid w:val="00EF3B46"/>
    <w:rsid w:val="00F01560"/>
    <w:rsid w:val="00F06786"/>
    <w:rsid w:val="00F1333D"/>
    <w:rsid w:val="00F159AD"/>
    <w:rsid w:val="00F26841"/>
    <w:rsid w:val="00F32011"/>
    <w:rsid w:val="00F43322"/>
    <w:rsid w:val="00F46068"/>
    <w:rsid w:val="00F810A6"/>
    <w:rsid w:val="00F96C9E"/>
    <w:rsid w:val="00FA0A2F"/>
    <w:rsid w:val="00FA483D"/>
    <w:rsid w:val="00FA603C"/>
    <w:rsid w:val="00FB687D"/>
    <w:rsid w:val="00FC2069"/>
    <w:rsid w:val="00FC4176"/>
    <w:rsid w:val="00FD3E10"/>
    <w:rsid w:val="00FE11A9"/>
    <w:rsid w:val="00FE1403"/>
    <w:rsid w:val="00FE42E4"/>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3249"/>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ind w:left="567" w:hanging="283"/>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34"/>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34"/>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1B4C8F17-11C5-4FA6-9EBB-1244D6861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2196</Words>
  <Characters>12084</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2025-06-19T13:20:00Z</dcterms:created>
  <dcterms:modified xsi:type="dcterms:W3CDTF">2025-06-19T13:20:00Z</dcterms:modified>
</cp:coreProperties>
</file>